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DD" w:rsidRPr="00852758" w:rsidRDefault="00537CDD" w:rsidP="0085275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r w:rsidRPr="00852758">
        <w:rPr>
          <w:rFonts w:ascii="Times New Roman" w:hAnsi="Times New Roman" w:cs="Times New Roman"/>
          <w:sz w:val="28"/>
          <w:szCs w:val="28"/>
          <w:lang w:val="en-CA"/>
        </w:rPr>
        <w:fldChar w:fldCharType="begin"/>
      </w:r>
      <w:r w:rsidRPr="00852758">
        <w:rPr>
          <w:rFonts w:ascii="Times New Roman" w:hAnsi="Times New Roman" w:cs="Times New Roman"/>
          <w:sz w:val="28"/>
          <w:szCs w:val="28"/>
          <w:lang w:val="en-CA"/>
        </w:rPr>
        <w:instrText xml:space="preserve"> SEQ CHAPTER \h \r 1</w:instrText>
      </w:r>
      <w:r w:rsidRPr="00852758">
        <w:rPr>
          <w:rFonts w:ascii="Times New Roman" w:hAnsi="Times New Roman" w:cs="Times New Roman"/>
          <w:sz w:val="28"/>
          <w:szCs w:val="28"/>
          <w:lang w:val="en-CA"/>
        </w:rPr>
        <w:fldChar w:fldCharType="end"/>
      </w:r>
      <w:r w:rsidRPr="00852758">
        <w:rPr>
          <w:rFonts w:ascii="Times New Roman" w:hAnsi="Times New Roman" w:cs="Times New Roman"/>
          <w:b/>
          <w:bCs/>
          <w:sz w:val="28"/>
          <w:szCs w:val="28"/>
        </w:rPr>
        <w:t>8.</w:t>
      </w:r>
      <w:r w:rsidR="00265CB5">
        <w:rPr>
          <w:rFonts w:ascii="Times New Roman" w:hAnsi="Times New Roman" w:cs="Times New Roman"/>
          <w:b/>
          <w:bCs/>
          <w:sz w:val="28"/>
          <w:szCs w:val="28"/>
        </w:rPr>
        <w:t>11</w:t>
      </w:r>
      <w:r w:rsidRPr="00852758">
        <w:rPr>
          <w:rFonts w:ascii="Times New Roman" w:hAnsi="Times New Roman" w:cs="Times New Roman"/>
          <w:b/>
          <w:bCs/>
          <w:sz w:val="28"/>
          <w:szCs w:val="28"/>
        </w:rPr>
        <w:t>.</w:t>
      </w:r>
      <w:r w:rsidRPr="00852758">
        <w:rPr>
          <w:rFonts w:ascii="Times New Roman" w:hAnsi="Times New Roman" w:cs="Times New Roman"/>
          <w:sz w:val="28"/>
          <w:szCs w:val="28"/>
        </w:rPr>
        <w:t xml:space="preserve"> </w:t>
      </w:r>
      <w:r w:rsidRPr="00852758">
        <w:rPr>
          <w:rFonts w:ascii="Times New Roman" w:hAnsi="Times New Roman" w:cs="Times New Roman"/>
          <w:b/>
          <w:bCs/>
          <w:sz w:val="28"/>
          <w:szCs w:val="28"/>
        </w:rPr>
        <w:t>Statement Against Penal or Pecuniary Interest</w:t>
      </w:r>
    </w:p>
    <w:p w:rsidR="00537CDD" w:rsidRPr="00852758" w:rsidRDefault="00537CDD" w:rsidP="0085275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p>
    <w:p w:rsidR="00537CDD" w:rsidRPr="00852758" w:rsidRDefault="00537CDD" w:rsidP="00852758">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rPr>
          <w:rFonts w:ascii="Times New Roman" w:hAnsi="Times New Roman" w:cs="Times New Roman"/>
          <w:b/>
          <w:bCs/>
          <w:sz w:val="28"/>
          <w:szCs w:val="28"/>
        </w:rPr>
      </w:pPr>
      <w:r w:rsidRPr="00852758">
        <w:rPr>
          <w:rFonts w:ascii="Times New Roman" w:hAnsi="Times New Roman" w:cs="Times New Roman"/>
          <w:b/>
          <w:bCs/>
          <w:sz w:val="28"/>
          <w:szCs w:val="28"/>
        </w:rPr>
        <w:t xml:space="preserve">(1) A statement made by a declarant based upon personal knowledge which at the time of its making the declarant knew was contrary to the declarant’s pecuniary or proprietary interest, or tended to subject the declarant to criminal liability, is admissible, provided the declarant is unavailable as a witness. </w:t>
      </w:r>
    </w:p>
    <w:p w:rsidR="00537CDD" w:rsidRPr="00852758" w:rsidRDefault="00537CDD" w:rsidP="00852758">
      <w:pPr>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488"/>
        </w:tabs>
        <w:ind w:left="432" w:right="432"/>
        <w:jc w:val="both"/>
        <w:rPr>
          <w:b/>
          <w:bCs/>
          <w:sz w:val="28"/>
          <w:szCs w:val="28"/>
        </w:rPr>
      </w:pPr>
    </w:p>
    <w:p w:rsidR="00537CDD" w:rsidRPr="00852758" w:rsidRDefault="00537CDD" w:rsidP="00852758">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8"/>
          <w:szCs w:val="28"/>
        </w:rPr>
      </w:pPr>
      <w:r w:rsidRPr="00852758">
        <w:rPr>
          <w:b/>
          <w:bCs/>
          <w:sz w:val="28"/>
          <w:szCs w:val="28"/>
        </w:rPr>
        <w:t xml:space="preserve">(2) Notwithstanding subdivision </w:t>
      </w:r>
      <w:r w:rsidR="003A648B">
        <w:rPr>
          <w:b/>
          <w:bCs/>
          <w:sz w:val="28"/>
          <w:szCs w:val="28"/>
        </w:rPr>
        <w:t>(1)</w:t>
      </w:r>
      <w:r w:rsidRPr="00852758">
        <w:rPr>
          <w:b/>
          <w:bCs/>
          <w:sz w:val="28"/>
          <w:szCs w:val="28"/>
        </w:rPr>
        <w:t>, in a criminal proceeding:</w:t>
      </w:r>
    </w:p>
    <w:p w:rsidR="00537CDD" w:rsidRPr="00852758" w:rsidRDefault="00537CDD" w:rsidP="00852758">
      <w:pPr>
        <w:pStyle w:val="NoSpacing"/>
        <w:widowControl/>
        <w:tabs>
          <w:tab w:val="left" w:pos="432"/>
          <w:tab w:val="left" w:pos="720"/>
          <w:tab w:val="left" w:pos="1440"/>
          <w:tab w:val="left" w:pos="2160"/>
          <w:tab w:val="left" w:pos="2880"/>
          <w:tab w:val="left" w:pos="3600"/>
          <w:tab w:val="left" w:pos="4320"/>
          <w:tab w:val="left" w:pos="5040"/>
          <w:tab w:val="left" w:pos="5760"/>
          <w:tab w:val="left" w:pos="6480"/>
          <w:tab w:val="left" w:pos="7200"/>
          <w:tab w:val="left" w:pos="7488"/>
        </w:tabs>
        <w:ind w:left="432" w:right="432"/>
        <w:rPr>
          <w:rFonts w:ascii="Times New Roman" w:hAnsi="Times New Roman" w:cs="Times New Roman"/>
          <w:sz w:val="28"/>
          <w:szCs w:val="28"/>
        </w:rPr>
      </w:pPr>
    </w:p>
    <w:p w:rsidR="00537CDD" w:rsidRPr="00852758" w:rsidRDefault="00852758" w:rsidP="00A51E56">
      <w:pPr>
        <w:pStyle w:val="L1-1"/>
        <w:widowControl/>
        <w:numPr>
          <w:ilvl w:val="0"/>
          <w:numId w:val="1"/>
        </w:numPr>
        <w:tabs>
          <w:tab w:val="left" w:pos="1440"/>
          <w:tab w:val="left" w:pos="2160"/>
          <w:tab w:val="left" w:pos="2880"/>
          <w:tab w:val="left" w:pos="3600"/>
          <w:tab w:val="left" w:pos="4320"/>
          <w:tab w:val="left" w:pos="5040"/>
          <w:tab w:val="left" w:pos="5760"/>
          <w:tab w:val="left" w:pos="6480"/>
        </w:tabs>
        <w:ind w:left="1260" w:right="720" w:firstLine="0"/>
        <w:rPr>
          <w:b/>
          <w:bCs/>
          <w:sz w:val="28"/>
          <w:szCs w:val="28"/>
        </w:rPr>
      </w:pPr>
      <w:r>
        <w:rPr>
          <w:b/>
          <w:bCs/>
          <w:sz w:val="28"/>
          <w:szCs w:val="28"/>
        </w:rPr>
        <w:t xml:space="preserve"> </w:t>
      </w:r>
      <w:r w:rsidR="00537CDD" w:rsidRPr="00852758">
        <w:rPr>
          <w:b/>
          <w:bCs/>
          <w:sz w:val="28"/>
          <w:szCs w:val="28"/>
        </w:rPr>
        <w:t xml:space="preserve">where the statement is testimonial, such as a plea allocution, it is not admissible against a defendant; </w:t>
      </w:r>
    </w:p>
    <w:p w:rsidR="00537CDD" w:rsidRPr="00852758" w:rsidRDefault="00537CDD" w:rsidP="00A51E56">
      <w:pPr>
        <w:pStyle w:val="NoSpacing"/>
        <w:widowControl/>
        <w:numPr>
          <w:ilvl w:val="12"/>
          <w:numId w:val="0"/>
        </w:numPr>
        <w:tabs>
          <w:tab w:val="left" w:pos="1440"/>
          <w:tab w:val="left" w:pos="2160"/>
          <w:tab w:val="left" w:pos="2880"/>
          <w:tab w:val="left" w:pos="3600"/>
          <w:tab w:val="left" w:pos="4320"/>
          <w:tab w:val="left" w:pos="5040"/>
          <w:tab w:val="left" w:pos="5760"/>
          <w:tab w:val="left" w:pos="6480"/>
          <w:tab w:val="left" w:pos="7056"/>
        </w:tabs>
        <w:ind w:left="1260" w:right="864"/>
        <w:rPr>
          <w:rFonts w:ascii="Times New Roman" w:hAnsi="Times New Roman" w:cs="Times New Roman"/>
          <w:b/>
          <w:bCs/>
          <w:sz w:val="28"/>
          <w:szCs w:val="28"/>
        </w:rPr>
      </w:pPr>
    </w:p>
    <w:p w:rsidR="00537CDD" w:rsidRPr="00852758" w:rsidRDefault="00852758" w:rsidP="00A51E56">
      <w:pPr>
        <w:pStyle w:val="L1-1"/>
        <w:widowControl/>
        <w:numPr>
          <w:ilvl w:val="0"/>
          <w:numId w:val="1"/>
        </w:numPr>
        <w:tabs>
          <w:tab w:val="left" w:pos="1440"/>
          <w:tab w:val="left" w:pos="2160"/>
          <w:tab w:val="left" w:pos="2880"/>
          <w:tab w:val="left" w:pos="3600"/>
          <w:tab w:val="left" w:pos="4320"/>
          <w:tab w:val="left" w:pos="5040"/>
          <w:tab w:val="left" w:pos="5760"/>
          <w:tab w:val="left" w:pos="6480"/>
        </w:tabs>
        <w:ind w:left="1260" w:right="720" w:firstLine="0"/>
        <w:rPr>
          <w:b/>
          <w:bCs/>
          <w:sz w:val="28"/>
          <w:szCs w:val="28"/>
        </w:rPr>
      </w:pPr>
      <w:r>
        <w:rPr>
          <w:b/>
          <w:bCs/>
          <w:sz w:val="28"/>
          <w:szCs w:val="28"/>
        </w:rPr>
        <w:t xml:space="preserve"> </w:t>
      </w:r>
      <w:r w:rsidR="00537CDD" w:rsidRPr="00852758">
        <w:rPr>
          <w:b/>
          <w:bCs/>
          <w:sz w:val="28"/>
          <w:szCs w:val="28"/>
        </w:rPr>
        <w:t xml:space="preserve">where the statement is not testimonial and tends to expose the declarant to criminal liability </w:t>
      </w:r>
      <w:bookmarkStart w:id="0" w:name="_GoBack"/>
      <w:bookmarkEnd w:id="0"/>
      <w:r w:rsidR="00537CDD" w:rsidRPr="00852758">
        <w:rPr>
          <w:b/>
          <w:bCs/>
          <w:sz w:val="28"/>
          <w:szCs w:val="28"/>
        </w:rPr>
        <w:t>and is offered against the defendant, the statement is admissible only as to that part which is disserving to the declarant and when evidence independent of the statement establishes that the statement was made under circumstances which render it highly probable that it is truthful; and</w:t>
      </w:r>
    </w:p>
    <w:p w:rsidR="00537CDD" w:rsidRPr="00852758" w:rsidRDefault="00537CDD" w:rsidP="00A51E56">
      <w:pPr>
        <w:pStyle w:val="NoSpacing"/>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488"/>
        </w:tabs>
        <w:ind w:left="1260" w:right="432"/>
        <w:rPr>
          <w:rFonts w:ascii="Times New Roman" w:hAnsi="Times New Roman" w:cs="Times New Roman"/>
          <w:b/>
          <w:bCs/>
          <w:sz w:val="28"/>
          <w:szCs w:val="28"/>
        </w:rPr>
      </w:pPr>
    </w:p>
    <w:p w:rsidR="00537CDD" w:rsidRDefault="00852758" w:rsidP="00A51E56">
      <w:pPr>
        <w:pStyle w:val="L1-1"/>
        <w:widowControl/>
        <w:numPr>
          <w:ilvl w:val="0"/>
          <w:numId w:val="1"/>
        </w:numPr>
        <w:tabs>
          <w:tab w:val="left" w:pos="1268"/>
          <w:tab w:val="left" w:pos="1439"/>
          <w:tab w:val="left" w:pos="2159"/>
          <w:tab w:val="left" w:pos="2879"/>
          <w:tab w:val="left" w:pos="3599"/>
          <w:tab w:val="left" w:pos="4319"/>
          <w:tab w:val="left" w:pos="5039"/>
          <w:tab w:val="left" w:pos="5759"/>
          <w:tab w:val="left" w:pos="6479"/>
        </w:tabs>
        <w:ind w:left="1260" w:right="720" w:firstLine="0"/>
        <w:rPr>
          <w:b/>
          <w:bCs/>
          <w:sz w:val="28"/>
          <w:szCs w:val="28"/>
        </w:rPr>
      </w:pPr>
      <w:r>
        <w:rPr>
          <w:b/>
          <w:bCs/>
          <w:sz w:val="28"/>
          <w:szCs w:val="28"/>
        </w:rPr>
        <w:t xml:space="preserve"> </w:t>
      </w:r>
      <w:r w:rsidR="00537CDD" w:rsidRPr="00852758">
        <w:rPr>
          <w:b/>
          <w:bCs/>
          <w:sz w:val="28"/>
          <w:szCs w:val="28"/>
        </w:rPr>
        <w:t>where a statement tends to expose the declarant to criminal liability and is offered to exculpate the defendant, the statement is admissible only when evidence independent of the statement establishes a reasonable possibility that the statement might be true.</w:t>
      </w:r>
    </w:p>
    <w:p w:rsidR="00852758" w:rsidRPr="00852758" w:rsidRDefault="00852758" w:rsidP="00852758">
      <w:pPr>
        <w:pStyle w:val="L1-1"/>
        <w:widowControl/>
        <w:tabs>
          <w:tab w:val="left" w:pos="1268"/>
          <w:tab w:val="left" w:pos="1439"/>
          <w:tab w:val="left" w:pos="2159"/>
          <w:tab w:val="left" w:pos="2879"/>
          <w:tab w:val="left" w:pos="3599"/>
          <w:tab w:val="left" w:pos="4319"/>
          <w:tab w:val="left" w:pos="5039"/>
          <w:tab w:val="left" w:pos="5759"/>
          <w:tab w:val="left" w:pos="6479"/>
          <w:tab w:val="left" w:pos="7055"/>
        </w:tabs>
        <w:ind w:left="0" w:right="864" w:firstLine="0"/>
        <w:rPr>
          <w:b/>
          <w:bCs/>
          <w:sz w:val="28"/>
          <w:szCs w:val="28"/>
        </w:rPr>
      </w:pPr>
    </w:p>
    <w:p w:rsidR="00537CDD" w:rsidRPr="00852758" w:rsidRDefault="00537CDD" w:rsidP="00852758">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r w:rsidRPr="00852758">
        <w:rPr>
          <w:rFonts w:ascii="Times New Roman" w:hAnsi="Times New Roman" w:cs="Times New Roman"/>
          <w:b/>
          <w:bCs/>
          <w:sz w:val="24"/>
          <w:szCs w:val="24"/>
        </w:rPr>
        <w:t>Note</w:t>
      </w:r>
    </w:p>
    <w:p w:rsidR="00537CDD" w:rsidRPr="00852758" w:rsidRDefault="00537CDD" w:rsidP="00852758">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p>
    <w:p w:rsidR="00537CDD" w:rsidRPr="00852758" w:rsidRDefault="00852758" w:rsidP="0085275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Pr>
          <w:b/>
          <w:bCs/>
          <w:sz w:val="24"/>
          <w:szCs w:val="24"/>
        </w:rPr>
        <w:tab/>
      </w:r>
      <w:r w:rsidR="00537CDD" w:rsidRPr="00852758">
        <w:rPr>
          <w:b/>
          <w:bCs/>
          <w:sz w:val="24"/>
          <w:szCs w:val="24"/>
        </w:rPr>
        <w:t xml:space="preserve">Subdivision (1). </w:t>
      </w:r>
      <w:r w:rsidR="00537CDD" w:rsidRPr="00852758">
        <w:rPr>
          <w:sz w:val="24"/>
          <w:szCs w:val="24"/>
        </w:rPr>
        <w:t>Subdivision (1) is derived from Court of Appeals decisions which have created a hearsay exception, “declarations against interest,” for certain statements that are disserving to the declarant at the time they were made. (</w:t>
      </w:r>
      <w:r w:rsidR="00537CDD" w:rsidRPr="00852758">
        <w:rPr>
          <w:i/>
          <w:iCs/>
          <w:sz w:val="24"/>
          <w:szCs w:val="24"/>
        </w:rPr>
        <w:t>See People v Brown</w:t>
      </w:r>
      <w:r w:rsidR="00537CDD" w:rsidRPr="00852758">
        <w:rPr>
          <w:sz w:val="24"/>
          <w:szCs w:val="24"/>
        </w:rPr>
        <w:t xml:space="preserve">, 26 NY2d 88, 91 [1970]; </w:t>
      </w:r>
      <w:r w:rsidR="00537CDD" w:rsidRPr="00852758">
        <w:rPr>
          <w:i/>
          <w:iCs/>
          <w:sz w:val="24"/>
          <w:szCs w:val="24"/>
        </w:rPr>
        <w:t>Kittredge v Grannis</w:t>
      </w:r>
      <w:r w:rsidR="00537CDD" w:rsidRPr="00852758">
        <w:rPr>
          <w:sz w:val="24"/>
          <w:szCs w:val="24"/>
        </w:rPr>
        <w:t xml:space="preserve">, 244 NY 168, 175 [1926].) The </w:t>
      </w:r>
      <w:proofErr w:type="gramStart"/>
      <w:r w:rsidR="00537CDD" w:rsidRPr="00852758">
        <w:rPr>
          <w:sz w:val="24"/>
          <w:szCs w:val="24"/>
        </w:rPr>
        <w:t>particular interests</w:t>
      </w:r>
      <w:proofErr w:type="gramEnd"/>
      <w:r w:rsidR="00537CDD" w:rsidRPr="00852758">
        <w:rPr>
          <w:sz w:val="24"/>
          <w:szCs w:val="24"/>
        </w:rPr>
        <w:t xml:space="preserve"> specified are ones identified by the Court</w:t>
      </w:r>
      <w:r w:rsidR="00537CDD" w:rsidRPr="00852758">
        <w:rPr>
          <w:i/>
          <w:iCs/>
          <w:sz w:val="24"/>
          <w:szCs w:val="24"/>
        </w:rPr>
        <w:t xml:space="preserve">. </w:t>
      </w:r>
      <w:r w:rsidR="00537CDD" w:rsidRPr="00852758">
        <w:rPr>
          <w:sz w:val="24"/>
          <w:szCs w:val="24"/>
        </w:rPr>
        <w:t>(</w:t>
      </w:r>
      <w:r w:rsidR="00537CDD" w:rsidRPr="00852758">
        <w:rPr>
          <w:i/>
          <w:iCs/>
          <w:sz w:val="24"/>
          <w:szCs w:val="24"/>
        </w:rPr>
        <w:t>See Kittredge v Grannis</w:t>
      </w:r>
      <w:r w:rsidR="00537CDD" w:rsidRPr="00852758">
        <w:rPr>
          <w:sz w:val="24"/>
          <w:szCs w:val="24"/>
        </w:rPr>
        <w:t xml:space="preserve">, 244 </w:t>
      </w:r>
      <w:r w:rsidR="008D01DA">
        <w:rPr>
          <w:sz w:val="24"/>
          <w:szCs w:val="24"/>
        </w:rPr>
        <w:t xml:space="preserve">NY </w:t>
      </w:r>
      <w:r w:rsidR="00537CDD" w:rsidRPr="00852758">
        <w:rPr>
          <w:sz w:val="24"/>
          <w:szCs w:val="24"/>
        </w:rPr>
        <w:t xml:space="preserve">at 175 [pecuniary]; </w:t>
      </w:r>
      <w:r w:rsidR="00537CDD" w:rsidRPr="00852758">
        <w:rPr>
          <w:i/>
          <w:iCs/>
          <w:sz w:val="24"/>
          <w:szCs w:val="24"/>
        </w:rPr>
        <w:t>Lyon v Ricker</w:t>
      </w:r>
      <w:r w:rsidR="00537CDD" w:rsidRPr="00852758">
        <w:rPr>
          <w:sz w:val="24"/>
          <w:szCs w:val="24"/>
        </w:rPr>
        <w:t xml:space="preserve">, 141 NY 225, 231 [1894] [proprietary]; </w:t>
      </w:r>
      <w:r w:rsidR="00537CDD" w:rsidRPr="00852758">
        <w:rPr>
          <w:i/>
          <w:iCs/>
          <w:sz w:val="24"/>
          <w:szCs w:val="24"/>
        </w:rPr>
        <w:t>People v Brown</w:t>
      </w:r>
      <w:r w:rsidR="00537CDD" w:rsidRPr="00852758">
        <w:rPr>
          <w:sz w:val="24"/>
          <w:szCs w:val="24"/>
        </w:rPr>
        <w:t>, 26 NY2d 88</w:t>
      </w:r>
      <w:r w:rsidR="00537CDD" w:rsidRPr="00852758">
        <w:rPr>
          <w:i/>
          <w:iCs/>
          <w:sz w:val="24"/>
          <w:szCs w:val="24"/>
        </w:rPr>
        <w:t xml:space="preserve"> </w:t>
      </w:r>
      <w:r w:rsidR="00537CDD" w:rsidRPr="00852758">
        <w:rPr>
          <w:sz w:val="24"/>
          <w:szCs w:val="24"/>
        </w:rPr>
        <w:t>[1970]</w:t>
      </w:r>
      <w:r w:rsidR="00537CDD" w:rsidRPr="00671239">
        <w:rPr>
          <w:iCs/>
          <w:sz w:val="24"/>
          <w:szCs w:val="24"/>
        </w:rPr>
        <w:t>,</w:t>
      </w:r>
      <w:r w:rsidR="00537CDD" w:rsidRPr="00852758">
        <w:rPr>
          <w:i/>
          <w:iCs/>
          <w:sz w:val="24"/>
          <w:szCs w:val="24"/>
        </w:rPr>
        <w:t xml:space="preserve"> supra</w:t>
      </w:r>
      <w:r w:rsidR="00537CDD" w:rsidRPr="00852758">
        <w:rPr>
          <w:sz w:val="24"/>
          <w:szCs w:val="24"/>
        </w:rPr>
        <w:t xml:space="preserve"> [penal].) As to </w:t>
      </w:r>
      <w:r w:rsidR="00537CDD" w:rsidRPr="00852758">
        <w:rPr>
          <w:sz w:val="24"/>
          <w:szCs w:val="24"/>
        </w:rPr>
        <w:lastRenderedPageBreak/>
        <w:t>the knowledge element, the Court of Appeals has insisted that to invoke the exception there must be a showing that the declarant had to have been aware at the time the statement was made that it was against interest. (</w:t>
      </w:r>
      <w:r w:rsidR="00537CDD" w:rsidRPr="00852758">
        <w:rPr>
          <w:i/>
          <w:iCs/>
          <w:sz w:val="24"/>
          <w:szCs w:val="24"/>
        </w:rPr>
        <w:t xml:space="preserve">See e.g. People v </w:t>
      </w:r>
      <w:proofErr w:type="spellStart"/>
      <w:r w:rsidR="00537CDD" w:rsidRPr="00852758">
        <w:rPr>
          <w:i/>
          <w:iCs/>
          <w:sz w:val="24"/>
          <w:szCs w:val="24"/>
        </w:rPr>
        <w:t>Maerling</w:t>
      </w:r>
      <w:proofErr w:type="spellEnd"/>
      <w:r w:rsidR="00537CDD" w:rsidRPr="00671239">
        <w:rPr>
          <w:iCs/>
          <w:sz w:val="24"/>
          <w:szCs w:val="24"/>
        </w:rPr>
        <w:t>,</w:t>
      </w:r>
      <w:r w:rsidR="00537CDD" w:rsidRPr="00852758">
        <w:rPr>
          <w:sz w:val="24"/>
          <w:szCs w:val="24"/>
        </w:rPr>
        <w:t xml:space="preserve"> 46 NY2d 289, 298 [1978] [“</w:t>
      </w:r>
      <w:r w:rsidR="00537CDD" w:rsidRPr="00852758">
        <w:rPr>
          <w:color w:val="212121"/>
          <w:sz w:val="24"/>
          <w:szCs w:val="24"/>
        </w:rPr>
        <w:t>the declarant must actually be conscious of the adversity” and “the knowledge of the facts on which its adversity hangs and the awareness of the adversity must act on one another and therefore must be contemporaneous”].) The declarant’s awareness that the statement was against h</w:t>
      </w:r>
      <w:r w:rsidR="00671239">
        <w:rPr>
          <w:color w:val="212121"/>
          <w:sz w:val="24"/>
          <w:szCs w:val="24"/>
        </w:rPr>
        <w:t>is or her interest may be proved</w:t>
      </w:r>
      <w:r w:rsidR="00537CDD" w:rsidRPr="00852758">
        <w:rPr>
          <w:color w:val="212121"/>
          <w:sz w:val="24"/>
          <w:szCs w:val="24"/>
        </w:rPr>
        <w:t xml:space="preserve"> directly or inferred from the “nature of the adverse matter declared and its relationship to the declarant.” (</w:t>
      </w:r>
      <w:proofErr w:type="spellStart"/>
      <w:r w:rsidR="00537CDD" w:rsidRPr="00852758">
        <w:rPr>
          <w:i/>
          <w:iCs/>
          <w:color w:val="212121"/>
          <w:sz w:val="24"/>
          <w:szCs w:val="24"/>
        </w:rPr>
        <w:t>Maerling</w:t>
      </w:r>
      <w:proofErr w:type="spellEnd"/>
      <w:r w:rsidR="00537CDD" w:rsidRPr="00852758">
        <w:rPr>
          <w:color w:val="212121"/>
          <w:sz w:val="24"/>
          <w:szCs w:val="24"/>
        </w:rPr>
        <w:t>, 46 NY2d at 298.)</w:t>
      </w:r>
    </w:p>
    <w:p w:rsidR="00537CDD" w:rsidRPr="00852758" w:rsidRDefault="00537CDD" w:rsidP="00852758">
      <w:pPr>
        <w:widowControl/>
        <w:numPr>
          <w:ilvl w:val="12"/>
          <w:numId w:val="0"/>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18"/>
        </w:tabs>
        <w:ind w:left="240" w:firstLine="480"/>
        <w:jc w:val="both"/>
        <w:rPr>
          <w:color w:val="212121"/>
          <w:sz w:val="24"/>
          <w:szCs w:val="24"/>
        </w:rPr>
      </w:pPr>
    </w:p>
    <w:p w:rsidR="00537CDD" w:rsidRPr="00852758" w:rsidRDefault="00537CDD" w:rsidP="0085275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852758">
        <w:rPr>
          <w:color w:val="212121"/>
          <w:sz w:val="24"/>
          <w:szCs w:val="24"/>
        </w:rPr>
        <w:tab/>
        <w:t xml:space="preserve">In </w:t>
      </w:r>
      <w:r w:rsidRPr="00852758">
        <w:rPr>
          <w:i/>
          <w:iCs/>
          <w:color w:val="212121"/>
          <w:sz w:val="24"/>
          <w:szCs w:val="24"/>
        </w:rPr>
        <w:t xml:space="preserve">People v Brown </w:t>
      </w:r>
      <w:r w:rsidRPr="00852758">
        <w:rPr>
          <w:color w:val="212121"/>
          <w:sz w:val="24"/>
          <w:szCs w:val="24"/>
        </w:rPr>
        <w:t>(26 NY2d at 93)</w:t>
      </w:r>
      <w:r w:rsidRPr="00D54A8E">
        <w:rPr>
          <w:iCs/>
          <w:color w:val="212121"/>
          <w:sz w:val="24"/>
          <w:szCs w:val="24"/>
        </w:rPr>
        <w:t>,</w:t>
      </w:r>
      <w:r w:rsidRPr="00852758">
        <w:rPr>
          <w:color w:val="212121"/>
          <w:sz w:val="24"/>
          <w:szCs w:val="24"/>
        </w:rPr>
        <w:t xml:space="preserve"> the Court of Appeals held that unavailability of the declarant must be established before a declaration against interest can be admitted and that unavailability may be established by the declarant’s death, absence beyond the jurisdiction, or privileged refusal to testify. However, the decision does not preclude the recognition of other grounds of unavailability for the exception.</w:t>
      </w:r>
    </w:p>
    <w:p w:rsidR="00537CDD" w:rsidRPr="00852758" w:rsidRDefault="00537CDD" w:rsidP="00852758">
      <w:pPr>
        <w:widowControl/>
        <w:numPr>
          <w:ilvl w:val="12"/>
          <w:numId w:val="0"/>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18"/>
        </w:tabs>
        <w:ind w:left="240"/>
        <w:jc w:val="both"/>
        <w:rPr>
          <w:color w:val="212121"/>
          <w:sz w:val="24"/>
          <w:szCs w:val="24"/>
        </w:rPr>
      </w:pPr>
    </w:p>
    <w:p w:rsidR="00537CDD" w:rsidRPr="00852758" w:rsidRDefault="00537CDD" w:rsidP="0085275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852758">
        <w:rPr>
          <w:color w:val="212121"/>
          <w:sz w:val="24"/>
          <w:szCs w:val="24"/>
        </w:rPr>
        <w:tab/>
      </w:r>
      <w:r w:rsidRPr="00852758">
        <w:rPr>
          <w:b/>
          <w:bCs/>
          <w:sz w:val="24"/>
          <w:szCs w:val="24"/>
        </w:rPr>
        <w:t xml:space="preserve">Subdivision </w:t>
      </w:r>
      <w:r w:rsidRPr="00852758">
        <w:rPr>
          <w:b/>
          <w:bCs/>
          <w:color w:val="212121"/>
          <w:sz w:val="24"/>
          <w:szCs w:val="24"/>
        </w:rPr>
        <w:t>(2) (a</w:t>
      </w:r>
      <w:r w:rsidRPr="00852758">
        <w:rPr>
          <w:color w:val="212121"/>
          <w:sz w:val="24"/>
          <w:szCs w:val="24"/>
        </w:rPr>
        <w:t>)</w:t>
      </w:r>
      <w:r w:rsidRPr="00852758">
        <w:rPr>
          <w:b/>
          <w:bCs/>
          <w:sz w:val="24"/>
          <w:szCs w:val="24"/>
        </w:rPr>
        <w:t xml:space="preserve">. </w:t>
      </w:r>
      <w:r w:rsidRPr="00852758">
        <w:rPr>
          <w:color w:val="212121"/>
          <w:sz w:val="24"/>
          <w:szCs w:val="24"/>
        </w:rPr>
        <w:t xml:space="preserve">Subdivision (2) (a) is derived from </w:t>
      </w:r>
      <w:r w:rsidRPr="00852758">
        <w:rPr>
          <w:i/>
          <w:iCs/>
          <w:color w:val="212121"/>
          <w:sz w:val="24"/>
          <w:szCs w:val="24"/>
        </w:rPr>
        <w:t xml:space="preserve">People v Hardy </w:t>
      </w:r>
      <w:r w:rsidRPr="00852758">
        <w:rPr>
          <w:color w:val="212121"/>
          <w:sz w:val="24"/>
          <w:szCs w:val="24"/>
        </w:rPr>
        <w:t xml:space="preserve">(4 NY3d 192 [2005]) and </w:t>
      </w:r>
      <w:r w:rsidRPr="00852758">
        <w:rPr>
          <w:i/>
          <w:iCs/>
          <w:color w:val="212121"/>
          <w:sz w:val="24"/>
          <w:szCs w:val="24"/>
        </w:rPr>
        <w:t xml:space="preserve">People v Douglas </w:t>
      </w:r>
      <w:r w:rsidRPr="00852758">
        <w:rPr>
          <w:color w:val="212121"/>
          <w:sz w:val="24"/>
          <w:szCs w:val="24"/>
        </w:rPr>
        <w:t xml:space="preserve">(4 NY3d 777 [2005]) where the Court held that, </w:t>
      </w:r>
      <w:proofErr w:type="gramStart"/>
      <w:r w:rsidRPr="00852758">
        <w:rPr>
          <w:color w:val="212121"/>
          <w:sz w:val="24"/>
          <w:szCs w:val="24"/>
        </w:rPr>
        <w:t>in light of</w:t>
      </w:r>
      <w:proofErr w:type="gramEnd"/>
      <w:r w:rsidRPr="00852758">
        <w:rPr>
          <w:color w:val="212121"/>
          <w:sz w:val="24"/>
          <w:szCs w:val="24"/>
        </w:rPr>
        <w:t xml:space="preserve"> </w:t>
      </w:r>
      <w:r w:rsidRPr="00852758">
        <w:rPr>
          <w:i/>
          <w:iCs/>
          <w:color w:val="212121"/>
          <w:sz w:val="24"/>
          <w:szCs w:val="24"/>
        </w:rPr>
        <w:t>Crawford v Washington</w:t>
      </w:r>
      <w:r w:rsidRPr="00852758">
        <w:rPr>
          <w:color w:val="212121"/>
          <w:sz w:val="24"/>
          <w:szCs w:val="24"/>
        </w:rPr>
        <w:t xml:space="preserve"> (541 US 36 [2004]), it was error to admit against the defendant on trial a declaration against penal interest set forth in the declarant’s plea allocution.</w:t>
      </w:r>
    </w:p>
    <w:p w:rsidR="00537CDD" w:rsidRPr="00852758" w:rsidRDefault="00537CDD" w:rsidP="00852758">
      <w:pPr>
        <w:widowControl/>
        <w:numPr>
          <w:ilvl w:val="12"/>
          <w:numId w:val="0"/>
        </w:num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18"/>
        </w:tabs>
        <w:ind w:left="240"/>
        <w:jc w:val="both"/>
        <w:rPr>
          <w:color w:val="212121"/>
          <w:sz w:val="24"/>
          <w:szCs w:val="24"/>
        </w:rPr>
      </w:pPr>
    </w:p>
    <w:p w:rsidR="00537CDD" w:rsidRDefault="00537CDD" w:rsidP="0085275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852758">
        <w:rPr>
          <w:color w:val="212121"/>
          <w:sz w:val="24"/>
          <w:szCs w:val="24"/>
        </w:rPr>
        <w:tab/>
      </w:r>
      <w:r w:rsidRPr="00852758">
        <w:rPr>
          <w:b/>
          <w:bCs/>
          <w:color w:val="212121"/>
          <w:sz w:val="24"/>
          <w:szCs w:val="24"/>
        </w:rPr>
        <w:t xml:space="preserve">Subdivision (2) (b). </w:t>
      </w:r>
      <w:r w:rsidRPr="00852758">
        <w:rPr>
          <w:color w:val="212121"/>
          <w:sz w:val="24"/>
          <w:szCs w:val="24"/>
        </w:rPr>
        <w:t>Subdivision (2) (b)</w:t>
      </w:r>
      <w:r w:rsidRPr="00852758">
        <w:rPr>
          <w:b/>
          <w:bCs/>
          <w:color w:val="212121"/>
          <w:sz w:val="24"/>
          <w:szCs w:val="24"/>
        </w:rPr>
        <w:t xml:space="preserve"> </w:t>
      </w:r>
      <w:r w:rsidRPr="00852758">
        <w:rPr>
          <w:color w:val="212121"/>
          <w:sz w:val="24"/>
          <w:szCs w:val="24"/>
        </w:rPr>
        <w:t xml:space="preserve">is derived from </w:t>
      </w:r>
      <w:r w:rsidRPr="00852758">
        <w:rPr>
          <w:i/>
          <w:iCs/>
          <w:color w:val="212121"/>
          <w:sz w:val="24"/>
          <w:szCs w:val="24"/>
        </w:rPr>
        <w:t xml:space="preserve">People v </w:t>
      </w:r>
      <w:proofErr w:type="spellStart"/>
      <w:r w:rsidRPr="00852758">
        <w:rPr>
          <w:i/>
          <w:iCs/>
          <w:color w:val="212121"/>
          <w:sz w:val="24"/>
          <w:szCs w:val="24"/>
        </w:rPr>
        <w:t>Brensic</w:t>
      </w:r>
      <w:proofErr w:type="spellEnd"/>
      <w:r w:rsidRPr="00852758">
        <w:rPr>
          <w:color w:val="212121"/>
          <w:sz w:val="24"/>
          <w:szCs w:val="24"/>
        </w:rPr>
        <w:t xml:space="preserve"> (70 NY2d 9 [1987]) wherein the Court stated “the trial court must determine, by evaluating competent evidence independent of the declaration itself, whether the declaration was spoken under circumstances which render it </w:t>
      </w:r>
      <w:r w:rsidRPr="00852758">
        <w:rPr>
          <w:color w:val="252525"/>
          <w:sz w:val="24"/>
          <w:szCs w:val="24"/>
        </w:rPr>
        <w:t>highly</w:t>
      </w:r>
      <w:r w:rsidRPr="00852758">
        <w:rPr>
          <w:color w:val="212121"/>
          <w:sz w:val="24"/>
          <w:szCs w:val="24"/>
        </w:rPr>
        <w:t xml:space="preserve"> </w:t>
      </w:r>
      <w:r w:rsidRPr="00852758">
        <w:rPr>
          <w:color w:val="252525"/>
          <w:sz w:val="24"/>
          <w:szCs w:val="24"/>
        </w:rPr>
        <w:t>probable</w:t>
      </w:r>
      <w:r w:rsidRPr="00852758">
        <w:rPr>
          <w:color w:val="212121"/>
          <w:sz w:val="24"/>
          <w:szCs w:val="24"/>
        </w:rPr>
        <w:t xml:space="preserve"> </w:t>
      </w:r>
      <w:r w:rsidRPr="00852758">
        <w:rPr>
          <w:color w:val="252525"/>
          <w:sz w:val="24"/>
          <w:szCs w:val="24"/>
        </w:rPr>
        <w:t>that</w:t>
      </w:r>
      <w:r w:rsidRPr="00852758">
        <w:rPr>
          <w:color w:val="212121"/>
          <w:sz w:val="24"/>
          <w:szCs w:val="24"/>
        </w:rPr>
        <w:t xml:space="preserve"> </w:t>
      </w:r>
      <w:r w:rsidRPr="00852758">
        <w:rPr>
          <w:color w:val="252525"/>
          <w:sz w:val="24"/>
          <w:szCs w:val="24"/>
        </w:rPr>
        <w:t>it</w:t>
      </w:r>
      <w:r w:rsidRPr="00852758">
        <w:rPr>
          <w:color w:val="212121"/>
          <w:sz w:val="24"/>
          <w:szCs w:val="24"/>
        </w:rPr>
        <w:t xml:space="preserve"> </w:t>
      </w:r>
      <w:r w:rsidRPr="00852758">
        <w:rPr>
          <w:color w:val="252525"/>
          <w:sz w:val="24"/>
          <w:szCs w:val="24"/>
        </w:rPr>
        <w:t>is</w:t>
      </w:r>
      <w:r w:rsidRPr="00852758">
        <w:rPr>
          <w:color w:val="212121"/>
          <w:sz w:val="24"/>
          <w:szCs w:val="24"/>
        </w:rPr>
        <w:t xml:space="preserve"> </w:t>
      </w:r>
      <w:r w:rsidRPr="00852758">
        <w:rPr>
          <w:color w:val="252525"/>
          <w:sz w:val="24"/>
          <w:szCs w:val="24"/>
        </w:rPr>
        <w:t>truthful” (</w:t>
      </w:r>
      <w:r w:rsidRPr="00852758">
        <w:rPr>
          <w:i/>
          <w:iCs/>
          <w:color w:val="252525"/>
          <w:sz w:val="24"/>
          <w:szCs w:val="24"/>
        </w:rPr>
        <w:t>id</w:t>
      </w:r>
      <w:r w:rsidRPr="00852758">
        <w:rPr>
          <w:color w:val="252525"/>
          <w:sz w:val="24"/>
          <w:szCs w:val="24"/>
        </w:rPr>
        <w:t xml:space="preserve">. at 14-15); </w:t>
      </w:r>
      <w:r w:rsidRPr="00852758">
        <w:rPr>
          <w:color w:val="212121"/>
          <w:sz w:val="24"/>
          <w:szCs w:val="24"/>
        </w:rPr>
        <w:t>and “[i]f the court decides to allow such evidence, it should admit only the portion of that statement which is opposed to the declarant's interest since the guarantee of reliability contained in declarations against penal interest exists only to the extent the statement is disserving to the declarant” (</w:t>
      </w:r>
      <w:r w:rsidR="006B1E07" w:rsidRPr="004B2F24">
        <w:rPr>
          <w:i/>
          <w:color w:val="212121"/>
          <w:sz w:val="24"/>
          <w:szCs w:val="24"/>
        </w:rPr>
        <w:t>i</w:t>
      </w:r>
      <w:r w:rsidRPr="004B2F24">
        <w:rPr>
          <w:i/>
          <w:iCs/>
          <w:color w:val="212121"/>
          <w:sz w:val="24"/>
          <w:szCs w:val="24"/>
        </w:rPr>
        <w:t>d</w:t>
      </w:r>
      <w:r w:rsidRPr="00852758">
        <w:rPr>
          <w:i/>
          <w:iCs/>
          <w:color w:val="212121"/>
          <w:sz w:val="24"/>
          <w:szCs w:val="24"/>
        </w:rPr>
        <w:t>.</w:t>
      </w:r>
      <w:r w:rsidRPr="00852758">
        <w:rPr>
          <w:color w:val="212121"/>
          <w:sz w:val="24"/>
          <w:szCs w:val="24"/>
        </w:rPr>
        <w:t xml:space="preserve"> at 16).</w:t>
      </w:r>
    </w:p>
    <w:p w:rsidR="00852758" w:rsidRPr="00852758" w:rsidRDefault="00852758" w:rsidP="0085275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rsidR="00537CDD" w:rsidRPr="00852758" w:rsidRDefault="00537CDD" w:rsidP="00852758">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52758">
        <w:rPr>
          <w:color w:val="212121"/>
          <w:sz w:val="24"/>
          <w:szCs w:val="24"/>
        </w:rPr>
        <w:tab/>
      </w:r>
      <w:r w:rsidRPr="00852758">
        <w:rPr>
          <w:b/>
          <w:bCs/>
          <w:color w:val="212121"/>
          <w:sz w:val="24"/>
          <w:szCs w:val="24"/>
        </w:rPr>
        <w:t>Subdivision (2) (c</w:t>
      </w:r>
      <w:r w:rsidRPr="00852758">
        <w:rPr>
          <w:color w:val="212121"/>
          <w:sz w:val="24"/>
          <w:szCs w:val="24"/>
        </w:rPr>
        <w:t xml:space="preserve">). Subdivision (2) (c) is derived from </w:t>
      </w:r>
      <w:r w:rsidRPr="00852758">
        <w:rPr>
          <w:i/>
          <w:iCs/>
          <w:sz w:val="24"/>
          <w:szCs w:val="24"/>
        </w:rPr>
        <w:t>People v Settles</w:t>
      </w:r>
      <w:r w:rsidRPr="00852758">
        <w:rPr>
          <w:sz w:val="24"/>
          <w:szCs w:val="24"/>
        </w:rPr>
        <w:t xml:space="preserve"> (46 NY2d 154, 168, 169-170 [1978]), wherein the Court of Appeals stated that “</w:t>
      </w:r>
      <w:r w:rsidRPr="00852758">
        <w:rPr>
          <w:color w:val="212121"/>
          <w:sz w:val="24"/>
          <w:szCs w:val="24"/>
        </w:rPr>
        <w:t xml:space="preserve">there must be some evidence, independent of the declaration itself . . . [which] establishes a reasonable possibility that the statement might be true.” See also </w:t>
      </w:r>
      <w:r w:rsidRPr="00852758">
        <w:rPr>
          <w:i/>
          <w:iCs/>
          <w:color w:val="212121"/>
          <w:sz w:val="24"/>
          <w:szCs w:val="24"/>
        </w:rPr>
        <w:t>People v Soto</w:t>
      </w:r>
      <w:r w:rsidRPr="00852758">
        <w:rPr>
          <w:color w:val="212121"/>
          <w:sz w:val="24"/>
          <w:szCs w:val="24"/>
        </w:rPr>
        <w:t xml:space="preserve"> (26 NY3d 455, 457 [2015]) reaffirming </w:t>
      </w:r>
      <w:r w:rsidRPr="00852758">
        <w:rPr>
          <w:i/>
          <w:iCs/>
          <w:color w:val="212121"/>
          <w:sz w:val="24"/>
          <w:szCs w:val="24"/>
        </w:rPr>
        <w:t>Settles</w:t>
      </w:r>
      <w:r w:rsidR="00604A42">
        <w:rPr>
          <w:color w:val="212121"/>
          <w:sz w:val="24"/>
          <w:szCs w:val="24"/>
        </w:rPr>
        <w:t xml:space="preserve"> (“</w:t>
      </w:r>
      <w:r w:rsidRPr="00852758">
        <w:rPr>
          <w:color w:val="212121"/>
          <w:sz w:val="24"/>
          <w:szCs w:val="24"/>
        </w:rPr>
        <w:t>The central issue in this case is</w:t>
      </w:r>
      <w:r w:rsidR="00604A42">
        <w:rPr>
          <w:color w:val="212121"/>
          <w:sz w:val="24"/>
          <w:szCs w:val="24"/>
        </w:rPr>
        <w:t xml:space="preserve"> whether an unavailable witness’</w:t>
      </w:r>
      <w:r w:rsidRPr="00852758">
        <w:rPr>
          <w:color w:val="212121"/>
          <w:sz w:val="24"/>
          <w:szCs w:val="24"/>
        </w:rPr>
        <w:t xml:space="preserve">s statement to a defense investigator—that she, not defendant, was the driver at the time of the accident and that she fled the scene—should have been admitted as a declaration against interest. Because the witness was aware at the time she made the statement that it was against her interest, the four prongs of the test described in </w:t>
      </w:r>
      <w:r w:rsidRPr="00852758">
        <w:rPr>
          <w:i/>
          <w:iCs/>
          <w:color w:val="212121"/>
          <w:sz w:val="24"/>
          <w:szCs w:val="24"/>
        </w:rPr>
        <w:t>People v Settles</w:t>
      </w:r>
      <w:r w:rsidR="00601BE4">
        <w:rPr>
          <w:color w:val="212121"/>
          <w:sz w:val="24"/>
          <w:szCs w:val="24"/>
        </w:rPr>
        <w:t xml:space="preserve"> [46 NY2d 154 (1978</w:t>
      </w:r>
      <w:r w:rsidRPr="00852758">
        <w:rPr>
          <w:color w:val="212121"/>
          <w:sz w:val="24"/>
          <w:szCs w:val="24"/>
        </w:rPr>
        <w:t>)</w:t>
      </w:r>
      <w:r w:rsidR="00601BE4">
        <w:rPr>
          <w:color w:val="212121"/>
          <w:sz w:val="24"/>
          <w:szCs w:val="24"/>
        </w:rPr>
        <w:t>]</w:t>
      </w:r>
      <w:r w:rsidRPr="00852758">
        <w:rPr>
          <w:color w:val="212121"/>
          <w:sz w:val="24"/>
          <w:szCs w:val="24"/>
        </w:rPr>
        <w:t xml:space="preserve"> were met and the statement should have been admitted as a declaration a</w:t>
      </w:r>
      <w:r w:rsidR="00604A42">
        <w:rPr>
          <w:color w:val="212121"/>
          <w:sz w:val="24"/>
          <w:szCs w:val="24"/>
        </w:rPr>
        <w:t>gai</w:t>
      </w:r>
      <w:r w:rsidR="007F7C5B">
        <w:rPr>
          <w:color w:val="212121"/>
          <w:sz w:val="24"/>
          <w:szCs w:val="24"/>
        </w:rPr>
        <w:t>nst interest”).</w:t>
      </w:r>
    </w:p>
    <w:sectPr w:rsidR="00537CDD" w:rsidRPr="00852758" w:rsidSect="00604A42">
      <w:footerReference w:type="default" r:id="rId7"/>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11" w:rsidRDefault="00E00A11" w:rsidP="00E13DF0">
      <w:r>
        <w:separator/>
      </w:r>
    </w:p>
  </w:endnote>
  <w:endnote w:type="continuationSeparator" w:id="0">
    <w:p w:rsidR="00E00A11" w:rsidRDefault="00E00A11" w:rsidP="00E1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DF0" w:rsidRDefault="00E13DF0" w:rsidP="00E13DF0">
    <w:pPr>
      <w:pStyle w:val="Footer"/>
      <w:jc w:val="center"/>
      <w:rPr>
        <w:noProof/>
        <w:sz w:val="24"/>
        <w:szCs w:val="24"/>
      </w:rPr>
    </w:pPr>
    <w:r w:rsidRPr="00E13DF0">
      <w:rPr>
        <w:sz w:val="24"/>
        <w:szCs w:val="24"/>
      </w:rPr>
      <w:fldChar w:fldCharType="begin"/>
    </w:r>
    <w:r w:rsidRPr="00E13DF0">
      <w:rPr>
        <w:sz w:val="24"/>
        <w:szCs w:val="24"/>
      </w:rPr>
      <w:instrText xml:space="preserve"> PAGE   \* MERGEFORMAT </w:instrText>
    </w:r>
    <w:r w:rsidRPr="00E13DF0">
      <w:rPr>
        <w:sz w:val="24"/>
        <w:szCs w:val="24"/>
      </w:rPr>
      <w:fldChar w:fldCharType="separate"/>
    </w:r>
    <w:r w:rsidR="00A51E56">
      <w:rPr>
        <w:noProof/>
        <w:sz w:val="24"/>
        <w:szCs w:val="24"/>
      </w:rPr>
      <w:t>2</w:t>
    </w:r>
    <w:r w:rsidRPr="00E13DF0">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11" w:rsidRDefault="00E00A11" w:rsidP="00E13DF0">
      <w:r>
        <w:separator/>
      </w:r>
    </w:p>
  </w:footnote>
  <w:footnote w:type="continuationSeparator" w:id="0">
    <w:p w:rsidR="00E00A11" w:rsidRDefault="00E00A11" w:rsidP="00E13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6CC"/>
    <w:multiLevelType w:val="multilevel"/>
    <w:tmpl w:val="446E8002"/>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58"/>
    <w:rsid w:val="001E6ADC"/>
    <w:rsid w:val="00265CB5"/>
    <w:rsid w:val="002B4FB2"/>
    <w:rsid w:val="0032240B"/>
    <w:rsid w:val="003A648B"/>
    <w:rsid w:val="004B2F24"/>
    <w:rsid w:val="00537CDD"/>
    <w:rsid w:val="005A4738"/>
    <w:rsid w:val="00601BE4"/>
    <w:rsid w:val="00604A42"/>
    <w:rsid w:val="00671239"/>
    <w:rsid w:val="006B1E07"/>
    <w:rsid w:val="00791DEB"/>
    <w:rsid w:val="007F7C5B"/>
    <w:rsid w:val="00852758"/>
    <w:rsid w:val="008D01DA"/>
    <w:rsid w:val="00A51E56"/>
    <w:rsid w:val="00CB29C1"/>
    <w:rsid w:val="00D54A8E"/>
    <w:rsid w:val="00E00A11"/>
    <w:rsid w:val="00E13DF0"/>
    <w:rsid w:val="00F4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002233-8940-4E58-95EC-6E6407EF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ind w:left="2132" w:hanging="404"/>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ind w:left="2808" w:hanging="36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3528" w:hanging="18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4248" w:hanging="36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4968" w:hanging="36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5688" w:hanging="18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6408" w:hanging="36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7128"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spacing w:after="0" w:line="240" w:lineRule="auto"/>
      <w:ind w:left="720"/>
      <w:jc w:val="both"/>
    </w:pPr>
    <w:rPr>
      <w:rFonts w:ascii="Times New Roman" w:hAnsi="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customStyle="1" w:styleId="L1-9">
    <w:name w:val="L1-9"/>
    <w:uiPriority w:val="99"/>
    <w:pPr>
      <w:widowControl w:val="0"/>
      <w:autoSpaceDE w:val="0"/>
      <w:autoSpaceDN w:val="0"/>
      <w:adjustRightInd w:val="0"/>
      <w:spacing w:after="0" w:line="240" w:lineRule="auto"/>
      <w:ind w:left="7848" w:hanging="180"/>
      <w:jc w:val="both"/>
    </w:pPr>
    <w:rPr>
      <w:rFonts w:ascii="Times New Roman" w:hAnsi="Times New Roman"/>
      <w:sz w:val="24"/>
      <w:szCs w:val="24"/>
    </w:rPr>
  </w:style>
  <w:style w:type="paragraph" w:styleId="ListParagraph">
    <w:name w:val="List Paragraph"/>
    <w:basedOn w:val="Normal"/>
    <w:uiPriority w:val="34"/>
    <w:qFormat/>
    <w:rsid w:val="00852758"/>
    <w:pPr>
      <w:ind w:left="720"/>
    </w:pPr>
  </w:style>
  <w:style w:type="paragraph" w:styleId="Header">
    <w:name w:val="header"/>
    <w:basedOn w:val="Normal"/>
    <w:link w:val="HeaderChar"/>
    <w:uiPriority w:val="99"/>
    <w:unhideWhenUsed/>
    <w:rsid w:val="00E13DF0"/>
    <w:pPr>
      <w:tabs>
        <w:tab w:val="center" w:pos="4680"/>
        <w:tab w:val="right" w:pos="9360"/>
      </w:tabs>
    </w:pPr>
  </w:style>
  <w:style w:type="character" w:customStyle="1" w:styleId="HeaderChar">
    <w:name w:val="Header Char"/>
    <w:basedOn w:val="DefaultParagraphFont"/>
    <w:link w:val="Header"/>
    <w:uiPriority w:val="99"/>
    <w:locked/>
    <w:rsid w:val="00E13DF0"/>
    <w:rPr>
      <w:rFonts w:ascii="Times New Roman" w:hAnsi="Times New Roman" w:cs="Times New Roman"/>
      <w:sz w:val="20"/>
      <w:szCs w:val="20"/>
    </w:rPr>
  </w:style>
  <w:style w:type="paragraph" w:styleId="Footer">
    <w:name w:val="footer"/>
    <w:basedOn w:val="Normal"/>
    <w:link w:val="FooterChar"/>
    <w:uiPriority w:val="99"/>
    <w:unhideWhenUsed/>
    <w:rsid w:val="00E13DF0"/>
    <w:pPr>
      <w:tabs>
        <w:tab w:val="center" w:pos="4680"/>
        <w:tab w:val="right" w:pos="9360"/>
      </w:tabs>
    </w:pPr>
  </w:style>
  <w:style w:type="character" w:customStyle="1" w:styleId="FooterChar">
    <w:name w:val="Footer Char"/>
    <w:basedOn w:val="DefaultParagraphFont"/>
    <w:link w:val="Footer"/>
    <w:uiPriority w:val="99"/>
    <w:locked/>
    <w:rsid w:val="00E13DF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4</cp:revision>
  <dcterms:created xsi:type="dcterms:W3CDTF">2017-04-24T17:16:00Z</dcterms:created>
  <dcterms:modified xsi:type="dcterms:W3CDTF">2017-06-12T15:43:00Z</dcterms:modified>
</cp:coreProperties>
</file>